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MS4A1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MS4A1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65.0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0.473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(55.4%)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(44.6%)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0.913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0.656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(68.8%)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(68.4%)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0.655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(27.9%)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0.913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(84.7%)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(84.1%)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0.566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(63.3%)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(56.1%)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(40.6%)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(43.9%)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(59.7%)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(60.3%)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(40.3%)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(40.9%)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(39.7%)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(74.3%)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(75.0%)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(73.6%)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(87.2%)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(84.8%)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(89.6%)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0.398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(89.5%)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(93.3%)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(29.9%)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(67.5%)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(64.1%)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0.476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(43.2%)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(46.3%)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(40.3%)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(53.7%)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2026-09-27T20:50:27Z</dcterms:modified>
  <cp:category/>
</cp:coreProperties>
</file>