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TCGA-READ cohort (N = 170)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170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(49.1%)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(50.9%)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(54.4%)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(20.2%)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(31.9%)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(31.9%)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(68.5%)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(51.8%)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(21.1%)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(85.0%)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(15.0%)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(52.1%)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(57.9%)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(42.1%)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(55.6%)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(44.4%)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(74.0%)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(87.6%)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(92.0%)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(29.9%)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(67.1%)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(40.4%)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(59.6%)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2026-09-27T20:49:56Z</dcterms:modified>
  <cp:category/>
</cp:coreProperties>
</file>