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TIMP1 expression, TCGA-READ (n = 149,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 (0.76–4.83)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2.28 (1.35–3.87)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(0.40–2.19)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2.56 (1.02–6.41)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2026-09-27T17:30:16Z</dcterms:modified>
  <cp:category/>
</cp:coreProperties>
</file>