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Univariable Cox regression for overall survival, TCGA-READ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20"/>
        <w:gridCol w:w="1145"/>
        <w:gridCol w:w="681"/>
        <w:gridCol w:w="931"/>
        <w:gridCol w:w="170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 (0.34–1.66)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 (0.26–1.58)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 (0.17–0.88)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 (0.19–0.70)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2.54 (1.09–5.96)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1.80 (1.15–2.81)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 (0.29–1.45)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 (0.54–1.31)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FBXW7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 (0.32–1.63)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FBXW7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 (0.43–2.48)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 (0.25–1.25)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 (0.44–1.25)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 (0.24–1.24)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 (0.32–1.23)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 (0.38–1.92)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 (0.86–1.71)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 (0.19–1.01)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 (0.45–1.15)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 (0.13–0.77)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(0.68–1.02)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2.34 (1.47–3.71)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 (0.55–2.64)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1.25 (0.24–6.48)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2.39 (0.50–11.46)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6.24 (1.31–29.62)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2.98 (1.22–7.30)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2026-09-27T17:30:33Z</dcterms:modified>
  <cp:category/>
</cp:coreProperties>
</file>