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TCGA-READ. HR from Cox regression; multivariable model adjusted for age (per 10 years), sex and pathologic stage. Sensitivity: stratified by tss. q = Benjamini–Hochberg across exploratory genes only; the primary gene (ROCK2) is reported with its unadjusted p. Time-split HRs (0–24 / &gt;24 months, adjusted) are shown only for genes whose expression term violated proportional hazards. RMST difference = High − Low restricted mean survival time up to 60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1"/>
        <w:gridCol w:w="964"/>
        <w:gridCol w:w="591"/>
        <w:gridCol w:w="757"/>
        <w:gridCol w:w="2204"/>
        <w:gridCol w:w="2231"/>
        <w:gridCol w:w="994"/>
        <w:gridCol w:w="994"/>
        <w:gridCol w:w="1741"/>
        <w:gridCol w:w="1114"/>
        <w:gridCol w:w="1114"/>
        <w:gridCol w:w="1841"/>
        <w:gridCol w:w="1214"/>
        <w:gridCol w:w="1214"/>
        <w:gridCol w:w="651"/>
        <w:gridCol w:w="1141"/>
        <w:gridCol w:w="1747"/>
        <w:gridCol w:w="1121"/>
        <w:gridCol w:w="1017"/>
        <w:gridCol w:w="1564"/>
        <w:gridCol w:w="937"/>
        <w:gridCol w:w="1512"/>
        <w:gridCol w:w="886"/>
        <w:gridCol w:w="2724"/>
        <w:gridCol w:w="854"/>
        <w:gridCol w:w="1636"/>
        <w:gridCol w:w="65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Low,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High,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PH global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0–24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0–24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&gt;24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&gt;24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(41.3–NR)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 (0.19–1.01)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 (0.24–1.62)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 (0.16–1.34)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7.67 (0.55, 14.78)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(57.2–NR)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 (0.34–1.66)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 (0.33–1.84)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 (0.29–1.69)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2.78 (-4.26, 9.82)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57.2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 (0.17–0.88)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 (0.22–1.31)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 (0.23–1.41)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7.75 (0.80, 14.70)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2.54 (1.09–5.96)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1.91 (0.76–4.83)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1.75 (0.68–4.51)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(0.34–3.34)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4.50 (0.92–21.97)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-8.34 (-14.89, -1.79)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 (0.29–1.45)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1.05 (0.44–2.49)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(0.34–2.38)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2.05 (0.65–6.42)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 (0.07–1.77)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4.71 (-2.00, 11.43)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FBXW7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 (0.32–1.63)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 (0.22–1.33)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 (0.15–1.27)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4.09 (-3.61, 11.80)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 (0.25–1.25)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0.68 (0.28–1.65)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 (0.24–1.58)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5.25 (-1.71, 12.21)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 (0.24–1.24)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 (0.30–1.87)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 (0.24–1.80)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5.61 (-1.19, 12.41)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(0.38–1.92)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(0.37–2.07)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1.01 (0.39–2.58)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 (-6.75, 7.15)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MS4A1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(43.2–NR)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 (0.13–0.77)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 (0.13–0.89)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I–II vs 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 (0.07–0.64)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9.11 (2.16, 16.06)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2026-09-27T17:30:31Z</dcterms:modified>
  <cp:category/>
</cp:coreProperties>
</file>