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RAD51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RAD51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(1.08–1.40)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(0.91–1.66)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(0.74–1.34)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2.34 (1.70–3.22)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2026-10-25T21:59:34Z</dcterms:modified>
  <cp:category/>
</cp:coreProperties>
</file>