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Multivariable Cox regression for overall survival: SMAD3 expression, TCGA-LUAD (n = 482, events = 175, EPV = 43.8)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3100"/>
        <w:gridCol w:w="1145"/>
        <w:gridCol w:w="681"/>
        <w:gridCol w:w="931"/>
        <w:gridCol w:w="1611"/>
        <w:gridCol w:w="917"/>
        <w:gridCol w:w="1136"/>
      </w:tblGrid>
      <w:tr>
        <w:trPr>
          <w:trHeight w:val="590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Variable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Level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Events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HR (95% CI)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Overall p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SMAD3 expression, log2 (per 1 unit)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482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175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1.22 (0.97–1.53)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0.088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Age group, years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≤65 (ref)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Reference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≥66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1.11 (0.82–1.49)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0.506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Male (ref)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Reference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Female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0.97 (0.72–1.31)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Pathologic stage group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I–II (ref)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Reference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75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III–IV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59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2.38 (1.73–3.28)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&lt;0.001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2026-10-25T21:59:12Z</dcterms:modified>
  <cp:category/>
</cp:coreProperties>
</file>