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SMAD7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0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(0.66–0.97)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(0.89–1.62)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2.54 (1.85–3.49)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2026-10-25T22:00:21Z</dcterms:modified>
  <cp:category/>
</cp:coreProperties>
</file>