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SNAI1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(1.02–1.31)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(0.85–1.54)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2.42 (1.76–3.32)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2026-10-25T22:00:36Z</dcterms:modified>
  <cp:category/>
</cp:coreProperties>
</file>