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CCNA2 expression, TCGA-LUSC (n = 483, events = 210, EPV = 52.5)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8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CCNA2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 (0.74–1.05)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1.28 (0.96–1.71)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 (0.58–1.11)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1.60 (1.16–2.21)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2026-10-25T22:02:41Z</dcterms:modified>
  <cp:category/>
</cp:coreProperties>
</file>