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Multivariable Cox regression for overall survival: CDKN3 expression, TCGA-LUSC (n = 483, events = 210, EPV = 52.5)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090"/>
        <w:gridCol w:w="1145"/>
        <w:gridCol w:w="681"/>
        <w:gridCol w:w="931"/>
        <w:gridCol w:w="1611"/>
        <w:gridCol w:w="816"/>
        <w:gridCol w:w="1136"/>
      </w:tblGrid>
      <w:tr>
        <w:trPr>
          <w:trHeight w:val="59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Level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Events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HR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 p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CDKN3 expression, log2 (per 1 unit)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0.84 (0.72–0.98)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1.29 (0.96–1.72)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0.82 (0.59–1.13)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1.64 (1.18–2.26)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2026-10-25T22:02:30Z</dcterms:modified>
  <cp:category/>
</cp:coreProperties>
</file>