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E2F1 expression, TCGA-LUSC (n = 483, events = 209, EPV = 52.2)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80"/>
        <w:gridCol w:w="1145"/>
        <w:gridCol w:w="681"/>
        <w:gridCol w:w="931"/>
        <w:gridCol w:w="1611"/>
        <w:gridCol w:w="816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E2F1 expression, log2 (per 1 unit)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 (0.86–1.19)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1.31 (0.98–1.75)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 (0.60–1.14)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1.57 (1.14–2.18)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2026-10-25T22:02:48Z</dcterms:modified>
  <cp:category/>
</cp:coreProperties>
</file>