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HSPA5 expression, TCGA-LUSC (n = 483, events = 209, EPV = 52.2)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40"/>
        <w:gridCol w:w="1145"/>
        <w:gridCol w:w="681"/>
        <w:gridCol w:w="931"/>
        <w:gridCol w:w="1611"/>
        <w:gridCol w:w="816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HSPA5 expression, log2 (per 1 unit)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1.33 (1.01–1.76)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1.33 (0.99–1.78)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 (0.59–1.13)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1.60 (1.16–2.21)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2026-10-25T22:03:25Z</dcterms:modified>
  <cp:category/>
</cp:coreProperties>
</file>