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OCLN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8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OCLN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 (0.92–1.17)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 (0.98–1.76)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(0.59–1.13)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1.58 (1.14–2.18)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2026-10-25T22:03:07Z</dcterms:modified>
  <cp:category/>
</cp:coreProperties>
</file>