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PIK3CA expression, TCGA-LUSC (n = 483, events = 209, EPV = 52.2)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20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PIK3CA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 (0.78–1.11)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1.34 (1.00–1.79)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 (0.60–1.14)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1.59 (1.15–2.20)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2026-10-25T22:02:01Z</dcterms:modified>
  <cp:category/>
</cp:coreProperties>
</file>