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RRM1 expression, TCGA-LUSC (n = 483, events = 209, EPV = 52.2)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80"/>
        <w:gridCol w:w="1145"/>
        <w:gridCol w:w="681"/>
        <w:gridCol w:w="931"/>
        <w:gridCol w:w="161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RRM1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 (0.81–1.22)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1.31 (0.98–1.75)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 (0.60–1.15)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1.59 (1.15–2.20)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2026-10-25T22:02:15Z</dcterms:modified>
  <cp:category/>
</cp:coreProperties>
</file>