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RRM2 expression, TCGA-LUSC (n = 483, events = 209, EPV = 52.2)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80"/>
        <w:gridCol w:w="1145"/>
        <w:gridCol w:w="681"/>
        <w:gridCol w:w="931"/>
        <w:gridCol w:w="161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RRM2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0.89 (0.76–1.05)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1.29 (0.96–1.73)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 (0.60–1.14)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1.59 (1.15–2.20)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2026-10-25T22:02:19Z</dcterms:modified>
  <cp:category/>
</cp:coreProperties>
</file>