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SMAD3 expression, TCGA-LUSC (n = 483, events = 210, EPV = 52.5)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0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SMAD3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 (0.82–1.19)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1.32 (0.98–1.76)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 (0.60–1.14)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1.59 (1.15–2.19)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2026-10-25T22:03:01Z</dcterms:modified>
  <cp:category/>
</cp:coreProperties>
</file>