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SNAI1 expression, TCGA-LUSC (n = 483, events = 210, EPV = 52.5)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0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SNAI1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1.21 (1.07–1.37)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1.31 (0.98–1.74)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 (0.59–1.12)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1.49 (1.08–2.07)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2026-10-25T22:04:31Z</dcterms:modified>
  <cp:category/>
</cp:coreProperties>
</file>