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XRCC3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7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XRCC3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 (0.76–1.05)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 (0.97–1.73)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 (0.58–1.11)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1.62 (1.17–2.24)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2026-10-25T22:04:41Z</dcterms:modified>
  <cp:category/>
</cp:coreProperties>
</file>