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p>
      <w:pPr>
        <w:pStyle w:val="TableCaption"/>
        <w:jc w:val="center"/>
        <w:keepNext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60" w:before="60" w:line="240"/>
        <w:ind w:left="60" w:right="60" w:firstLine="0" w:firstLineChars="0"/>
      </w:pPr>
      <w:r>
        <w:t xml:space="preserve">Table 1. Clinical characteristics of TCGA-LUSC patients by LINC00261 expression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2661"/>
        <w:gridCol w:w="2001"/>
        <w:gridCol w:w="2001"/>
        <w:gridCol w:w="2001"/>
        <w:gridCol w:w="1181"/>
      </w:tblGrid>
      <w:tr>
        <w:trPr>
          <w:trHeight w:val="460" w:hRule="auto"/>
          <w:tblHeader/>
        </w:trPr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  <w:tc>
          <w:tcPr>
            <w:gridSpan w:val="2"/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LINC00261 expression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</w:t>
            </w:r>
          </w:p>
        </w:tc>
      </w:tr>
      <w:tr>
        <w:trPr>
          <w:trHeight w:val="676" w:hRule="auto"/>
          <w:tblHeader/>
        </w:trPr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Characteristic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Overall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488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Low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High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  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br/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 = 244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single" w:sz="8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40" w:before="4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p-value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Age, years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[60.5, 73.0]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68.0 [62.0, 74.0]</w:t>
            </w:r>
          </w:p>
        </w:tc>
        <w:tc>
          <w:tcPr>
            <w:tcBorders>
              <w:bottom w:val="none" w:sz="0" w:space="0" w:color="000000"/>
              <w:top w:val="single" w:sz="8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Age group, years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0.122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≤65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189 (38.8%)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103 (42.2%)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86 (35.4%)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≥66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298 (61.2%)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141 (57.8%)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157 (64.6%)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Sex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0.003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361 (74.1%)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195 (79.9%)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166 (68.3%)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Female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(25.9%)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49 (20.1%)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77 (31.7%)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0.028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237 (49.1%)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104 (43.0%)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133 (55.2%)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156 (32.3%)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92 (38.0%)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83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 (17.8%)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(16.6%)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0.066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109 (22.4%)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45 (18.4%)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64 (26.3%)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285 (58.5%)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143 (58.6%)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142 (58.4%)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70 (14.4%)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42 (17.2%)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28 (11.5%)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T4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23 (4.7%)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14 (5.7%)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 (3.7%)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N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0.044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310 (64.4%)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150 (62.0%)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160 (66.9%)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126 (26.2%)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72 (29.8%)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54 (22.6%)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 (8.4%)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N3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 (0.0%)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 (2.1%)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M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&gt;0.999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400 (98.3%)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198 (98.5%)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202 (98.1%)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7 (1.7%)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 (1.5%)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 (1.9%)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81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true"/>
                <w:u w:val="none"/>
                <w:strike w:val="false"/>
                <w:sz w:val="18"/>
                <w:szCs w:val="18"/>
                <w:color w:val="000000"/>
              </w:rPr>
              <w:t xml:space="preserve">Pathologic stage group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0.832</w:t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I–II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393 (81.4%)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196 (81.0%)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197 (81.7%)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60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III–IV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90 (18.6%)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46 (19.0%)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44 (18.3%)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570" w:hRule="auto"/>
        </w:trPr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3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Missing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5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2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3</w:t>
            </w:r>
          </w:p>
        </w:tc>
        <w:tc>
          <w:tcPr>
            <w:tcBorders>
              <w:bottom w:val="single" w:sz="8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top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/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single" w:sz="8" w:space="0" w:color="000000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1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Median [Q1, Q3]; n (%)</w:t>
            </w:r>
          </w:p>
        </w:tc>
      </w:tr>
      <w:tr>
        <w:trPr>
          <w:trHeight w:val="360" w:hRule="auto"/>
        </w:trPr>
        <w:tc>
          <w:tcPr>
            <w:gridSpan w:val="5"/>
            <w:tcBorders>
              <w:bottom w:val="none" w:sz="0" w:space="0" w:color="FFFFFF"/>
              <w:top w:val="none" w:sz="0" w:space="0" w:color="FFFFFF"/>
              <w:left w:val="none" w:sz="0" w:space="0" w:color="FFFFFF"/>
              <w:right w:val="none" w:sz="0" w:space="0" w:color="FFFFFF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</w:pP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vertAlign w:val="superscript"/>
                <w:sz w:val="18"/>
                <w:szCs w:val="18"/>
                <w:color w:val="000000"/>
              </w:rPr>
              <w:t xml:space="preserve">2</w:t>
            </w:r>
            <w:r>
              <w:rPr>
                <w:rFonts w:ascii="Times New Roman" w:hAnsi="Times New Roman" w:eastAsia="Times New Roman" w:cs="Times New Roman"/>
                <w:i w:val="false"/>
                <w:b w:val="false"/>
                <w:u w:val="none"/>
                <w:strike w:val="false"/>
                <w:sz w:val="18"/>
                <w:szCs w:val="18"/>
                <w:color w:val="000000"/>
              </w:rPr>
              <w:t xml:space="preserve">Wilcoxon rank sum test; Pearson's chi-squared test; Fisher's exact test</w:t>
            </w:r>
          </w:p>
        </w:tc>
      </w:tr>
    </w:tbl>
    <w:sectPr>
      <w:pgMar w:header="708" w:bottom="1417" w:top="1417" w:right="1417" w:left="1417" w:footer="708" w:gutter="0"/>
      <w:pgSz w:h="16838" w:w="11906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2026-10-25T21:53:12Z</dcterms:modified>
  <cp:category/>
</cp:coreProperties>
</file>