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5-gene signature (LOXL2, ITGB1, PLAUR, SNAI1, VEGFC) signature score (High vs Low, median split), TCGA-LUAD.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85"/>
        <w:gridCol w:w="921"/>
        <w:gridCol w:w="681"/>
        <w:gridCol w:w="931"/>
        <w:gridCol w:w="2716"/>
        <w:gridCol w:w="1955"/>
        <w:gridCol w:w="1955"/>
        <w:gridCol w:w="128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Log-rank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50.2 (41.7–59.1)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67.6% (60.4–75.7)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37.9% (28.9–49.7)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41.6 (32.7–60.1)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54.1% (46.6–62.7)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40.3% (31.7–51.1)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50.2 (41.7–59.1)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67.2% (60.0–75.3)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37.7% (28.7–49.4)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41.6 (32.8–60.1)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54.5% (47.0–63.1)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40.6% (32.0–51.5)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53.6 (49.0–88.1)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(64.0–78.7)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41.0% (31.5–53.5)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39.7 (31.3–49.3)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51.6% (44.2–60.3)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36.6% (28.4–47.2)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53.6 (47.8–88.1)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70.5% (63.5–78.3)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41.3% (31.8–53.5)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39.7 (32.4–52.6)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52.1% (44.6–60.8)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36.6% (28.3–47.4)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2026-10-24T19:30:16Z</dcterms:modified>
  <cp:category/>
</cp:coreProperties>
</file>