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5-gene signature (LOXL2, ITGB1, PLAUR, SNAI1, VEGFC) signature score, TCGA-LUAD (investigator-selected a priori (hypothesis-based; not derived from TCGA data)). Primary method: ssGSEA (prespecified). Continuous HRs are per 1 SD of the score within the survival cohort; High vs Low = median split of the score over all scored patients. Multivariable models adjusted for age group, years, sex and pathologic stage group; sensitivity stratified by tss. Time-split HRs (0–24 / &gt;24 months) only when the score term violated proportional hazards. RMST difference = High − Low up to 60 months. Not adjusted together with the gene-level analyses.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9"/>
        <w:gridCol w:w="916"/>
        <w:gridCol w:w="2596"/>
        <w:gridCol w:w="621"/>
        <w:gridCol w:w="815"/>
        <w:gridCol w:w="1344"/>
        <w:gridCol w:w="805"/>
        <w:gridCol w:w="726"/>
        <w:gridCol w:w="1262"/>
        <w:gridCol w:w="1480"/>
        <w:gridCol w:w="1091"/>
        <w:gridCol w:w="3109"/>
        <w:gridCol w:w="9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Primary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(score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1.52 (1.13–2.05)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-6.76 (-11.01, -2.50)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1.42 (1.22–1.65)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1.39 (1.19–1.61)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(1.17–1.62)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1.56 (1.27–1.90)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1.19 (0.95–1.49)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(1.05–1.90)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-5.04 (-9.34, -0.73)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(1.28–1.72)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1.60 (1.32–1.94)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1.18 (0.94–1.48)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1.37 (1.02–1.84)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-4.60 (-8.91, -0.30)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(1.28–1.73)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1.42 (1.21–1.66)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1.60 (1.32–1.94)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1.18 (0.94–1.48)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(1.10–2.00)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-6.37 (-10.63, -2.11)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(1.18–1.60)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1.37 (1.16–1.60)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1.55 (1.27–1.90)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(0.93–1.47)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2026-10-24T19:30:13Z</dcterms:modified>
  <cp:category/>
</cp:coreProperties>
</file>