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5-gene signature (LOXL2, ITGB1, PLAUR, SNAI1, VEGFC) signature score (High vs Low, median split), TCGA-LUSC.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85"/>
        <w:gridCol w:w="921"/>
        <w:gridCol w:w="681"/>
        <w:gridCol w:w="931"/>
        <w:gridCol w:w="2716"/>
        <w:gridCol w:w="1955"/>
        <w:gridCol w:w="1955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z-score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(54.4–92.1)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65.3% (58.6–72.8)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54.9% (47.2–63.8)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37.8 (32.0–55.7)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52.3% (45.3–60.4)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38.6% (31.0–48.0)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65.2 (54.4–86.2)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66.8% (60.2–74.2)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54.8% (47.2–63.8)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36.0 (30.8–55.7)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(43.8–58.9)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38.7% (31.1–48.0)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ssGSEA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 (54.4–78.1)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66.6% (60.0–73.9)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52.9% (45.1–61.9)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36.0 (31.6–55.2)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(43.7–59.0)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40.7% (33.1–49.9)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singscore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61.6 (54.4–78.1)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66.2% (59.6–73.6)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52.6% (44.9–61.6)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36.4 (31.6–62.8)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51.2% (44.1–59.4)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41.0% (33.4–50.3)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2026-10-24T19:30:25Z</dcterms:modified>
  <cp:category/>
</cp:coreProperties>
</file>