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 by 5-gene signature (LOXL2, ITGB1, PLAUR, SNAI1, VEGFC) signature score, TCGA-LUSC (investigator-selected a priori (hypothesis-based; not derived from TCGA data)). Primary method: ssGSEA (prespecified). Continuous HRs are per 1 SD of the score within the survival cohort; High vs Low = median split of the score over all scored patients. Multivariable models adjusted for age group, years, sex and pathologic stage group; sensitivity stratified by tss. Time-split HRs (0–24 / &gt;24 months) only when the score term violated proportional hazards. RMST difference = High − Low up to 60 months. Not adjusted together with the gene-level analyses.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69"/>
        <w:gridCol w:w="916"/>
        <w:gridCol w:w="2596"/>
        <w:gridCol w:w="621"/>
        <w:gridCol w:w="815"/>
        <w:gridCol w:w="1344"/>
        <w:gridCol w:w="726"/>
        <w:gridCol w:w="726"/>
        <w:gridCol w:w="1262"/>
        <w:gridCol w:w="1480"/>
        <w:gridCol w:w="1091"/>
        <w:gridCol w:w="3109"/>
        <w:gridCol w:w="928"/>
        <w:gridCol w:w="1840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Primary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EPV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Stage 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PH p (score term)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Log-rank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difference at 60 mo, months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RMST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Exploratory (EPV &lt; 10)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ssGSEA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 (1.07–1.85)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-7.56 (-11.94, -3.19)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 (1.05–1.37)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 (1.08–1.46)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 (1.11–1.57)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 (0.84–1.28)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z-score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 (1.11–1.91)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-6.95 (-11.32, -2.57)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 (1.03–1.34)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 (1.02–1.31)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 (1.08–1.51)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 (0.83–1.24)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 (1.13–1.95)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-7.76 (-12.12, -3.39)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 (1.03–1.33)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1.15 (1.02–1.31)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 (1.08–1.50)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 (0.83–1.23)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singscore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(High vs Low)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 (1.05–1.81)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-7.19 (-11.57, -2.80)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 (1.06–1.39)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 (1.05–1.37)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 + strata(tss)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 (1.08–1.46)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0–24 months (per 1 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 (1.11–1.58)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Multivariable, &gt;24 months (per 1 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 (0.84–1.28)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2026-10-24T19:30:22Z</dcterms:modified>
  <cp:category/>
</cp:coreProperties>
</file>