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(0.86–2.85)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(0.61–1.91)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2.79 (1.50–5.19)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(1.21–3.89)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2026-10-04T00:00:59Z</dcterms:modified>
  <cp:category/>
</cp:coreProperties>
</file>