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(0.32–1.01)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(0.59–1.83)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2.89 (1.56–5.36)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2.19 (1.23–3.90)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2026-10-04T00:01:01Z</dcterms:modified>
  <cp:category/>
</cp:coreProperties>
</file>