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86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(0.87–2.92)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(0.66–2.18)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2.67 (1.43–4.99)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 (1.30–4.19)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2026-10-04T00:01:15Z</dcterms:modified>
  <cp:category/>
</cp:coreProperties>
</file>