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1.28 (0.72–2.26)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(0.59–1.85)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2.87 (1.55–5.33)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2.30 (1.28–4.12)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2026-10-04T00:01:03Z</dcterms:modified>
  <cp:category/>
</cp:coreProperties>
</file>