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MS4A1 expression, TCGA-COAD (n = 273, events = 49, EPV = 12.2)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 (0.34–1.08)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 (0.55–1.73)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3.01 (1.62–5.60)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2.23 (1.25–3.97)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2026-10-04T00:01:13Z</dcterms:modified>
  <cp:category/>
</cp:coreProperties>
</file>