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(0.76–2.41)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(0.59–1.85)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(1.50–5.20)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(1.28–4.08)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2026-10-04T00:01:05Z</dcterms:modified>
  <cp:category/>
</cp:coreProperties>
</file>