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 (0.28–0.91)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(0.60–1.86)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3.30 (1.77–6.17)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2026-10-04T00:01:11Z</dcterms:modified>
  <cp:category/>
</cp:coreProperties>
</file>