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(0.38–1.29)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1.16 (0.64–2.10)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2.81 (1.52–5.21)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(1.26–4.01)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2026-10-04T00:01:09Z</dcterms:modified>
  <cp:category/>
</cp:coreProperties>
</file>