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(79.0–90.5)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(59.7–83.0)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 (64.8–79.4)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59.0% (49.3–70.7)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2026-10-04T00:01:17Z</dcterms:modified>
  <cp:category/>
</cp:coreProperties>
</file>