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TCGA-COAD. HR from Cox regression; multivariable model adjusted for ageg, sex, pathologic stage group and pretreatment cea. Sensitivity: stratified by tss. q = Benjamini–Hochberg across exploratory genes only; the primary gene (HIST1H2AC)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5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(67.2–NR)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81.3 (56.2–NR)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1.62 (1.08–2.44)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1.59 (0.87–2.92)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1.48 (0.77–2.83)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-5.29 (-9.57, -1.01)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(0.58–1.29)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1.12 (0.64–1.98)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1.29 (0.68–2.43)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1.16 (-3.17, 5.48)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1.56 (0.86–2.85)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1.63 (0.88–3.02)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-2.15 (-6.46, 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(0.44–0.99)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 (0.32–1.01)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 (0.33–1.19)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3.84 (-0.45, 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1.28 (0.72–2.26)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1.31 (0.71–2.40)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1.29 (-3.00, 5.58)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1.22 (0.82–1.83)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1.35 (0.76–2.41)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1.29 (0.69–2.41)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-1.18 (-5.48, 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1.75 (1.17–2.63)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2.23 (1.22–4.06)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2.23 (1.18–4.20)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-5.81 (-10.10, -1.52)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 (0.38–1.29)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 (0.38–1.36)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1.16 (0.58–2.30)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 (0.04–0.62)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 (-4.11, 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(0.41–0.93)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 (0.28–0.91)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 (0.23–0.88)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6.02 (1.76, 10.28)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(56.2–NR)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(99.9–NR)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(0.39–0.90)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 (0.34–1.08)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0.61 (0.33–1.11)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5.10 (0.81, 9.38)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2026-10-04T00:01:16Z</dcterms:modified>
  <cp:category/>
</cp:coreProperties>
</file>