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KRAS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[58.5,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(84.0%)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(44.8%)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2026-10-03T23:47:44Z</dcterms:modified>
  <cp:category/>
</cp:coreProperties>
</file>