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MS4A1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77.5]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(41.6%)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(73.5%)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(81.8%)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(86.9%)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(64.4%)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(74.9%)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(92.5%)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(92.9%)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194 (89.0%)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(30.0%)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2026-10-03T23:49:03Z</dcterms:modified>
  <cp:category/>
</cp:coreProperties>
</file>