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(0.22–2.05)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(0.24–2.61)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(0.51–5.13)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1.60 (0.48–5.31)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2026-10-04T00:01:27Z</dcterms:modified>
  <cp:category/>
</cp:coreProperties>
</file>