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BRAF expression, TCGA-READ (n = 103, events = 13, EPV = 3.2;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59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 (0.14–1.49)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 (0.21–2.37)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1.43 (0.44–4.65)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1.76 (0.52–5.99)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2026-10-04T00:01:20Z</dcterms:modified>
  <cp:category/>
</cp:coreProperties>
</file>