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(0.13–1.31)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(0.22–2.41)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(0.55–5.80)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(0.46–4.95)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2026-10-04T00:01:22Z</dcterms:modified>
  <cp:category/>
</cp:coreProperties>
</file>