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(0.09–1.09)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 (0.20–2.31)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(0.52–5.38)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(0.42–4.50)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2026-10-04T00:01:29Z</dcterms:modified>
  <cp:category/>
</cp:coreProperties>
</file>