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 (0.05–0.72)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(0.23–2.60)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(0.53–5.26)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2.24 (0.66–7.61)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2026-10-04T00:01:31Z</dcterms:modified>
  <cp:category/>
</cp:coreProperties>
</file>