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 (0.03–0.51)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(0.18–2.25)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(0.64–7.63)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(0.44–4.89)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2026-10-04T00:01:38Z</dcterms:modified>
  <cp:category/>
</cp:coreProperties>
</file>