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 (0.11–1.15)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(0.23–2.54)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1.55 (0.48–5.02)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1.61 (0.48–5.37)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2026-10-04T00:01:33Z</dcterms:modified>
  <cp:category/>
</cp:coreProperties>
</file>