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 (0.08–1.02)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(0.24–2.70)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(0.56–6.08)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(0.39–4.41)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2026-10-04T00:01:36Z</dcterms:modified>
  <cp:category/>
</cp:coreProperties>
</file>