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Univariable Cox regression for overall survival, TCGA-READ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50"/>
        <w:gridCol w:w="1489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 (0.34–1.64)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(0.26–1.58)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 (0.16–0.87)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BRCA1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 (0.19–0.69)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2.58 (1.10–6.03)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1.81 (1.16–2.82)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(0.29–1.43)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APC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(0.53–1.30)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(0.32–1.65)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1.06 (0.45–2.53)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 (0.25–1.23)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 (0.43–1.24)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(0.24–1.23)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 (0.32–1.22)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(0.39–1.94)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1.22 (0.87–1.72)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(0.19–1.00)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ROCK2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0.72 (0.45–1.14)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 (0.13–0.77)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(0.68–1.01)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2.73 (1.17–6.40)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1.36 (0.88–2.09)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(0.54–2.60)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2.93 (1.20–7.18)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(0.50–4.64)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2026-10-04T00:01:44Z</dcterms:modified>
  <cp:category/>
</cp:coreProperties>
</file>