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89.3% (80.3–99.3)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60.1% (37.1–97.4)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(70.6–92.0)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(20.4–80.6)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2026-10-04T00:01:43Z</dcterms:modified>
  <cp:category/>
</cp:coreProperties>
</file>