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Overall survival by gene expression (High vs Low), TCGA-READ. HR from Cox regression; multivariable model adjusted for ageg, sex, pathologic stage group and pretreatment cea. Sensitivity: stratified by tss. q = Benjamini–Hochberg across exploratory genes only; the primary gene (HIST1H2AC) is reported with its unadjusted p. Time-split HRs (0–24 / &gt;24 months, adjusted) are shown only for genes whose expression term violated proportional hazards. RMST difference = High − Low restricted mean survival time up to 60 months.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51"/>
        <w:gridCol w:w="964"/>
        <w:gridCol w:w="591"/>
        <w:gridCol w:w="757"/>
        <w:gridCol w:w="2204"/>
        <w:gridCol w:w="2231"/>
        <w:gridCol w:w="994"/>
        <w:gridCol w:w="994"/>
        <w:gridCol w:w="1741"/>
        <w:gridCol w:w="1114"/>
        <w:gridCol w:w="1114"/>
        <w:gridCol w:w="1841"/>
        <w:gridCol w:w="1214"/>
        <w:gridCol w:w="1214"/>
        <w:gridCol w:w="651"/>
        <w:gridCol w:w="1141"/>
        <w:gridCol w:w="1747"/>
        <w:gridCol w:w="1121"/>
        <w:gridCol w:w="1017"/>
        <w:gridCol w:w="1564"/>
        <w:gridCol w:w="937"/>
        <w:gridCol w:w="1512"/>
        <w:gridCol w:w="886"/>
        <w:gridCol w:w="2724"/>
        <w:gridCol w:w="854"/>
        <w:gridCol w:w="1636"/>
        <w:gridCol w:w="651"/>
      </w:tblGrid>
      <w:tr>
        <w:trPr>
          <w:trHeight w:val="5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Gene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Role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Median OS Low,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Median OS High,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Log-rank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Log-rank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EPV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Stage 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Strata(TSS)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Strata(TSS)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PH global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HR 0–24 mo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 0–24 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HR &gt;24 mo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 &gt;24 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RMST difference at 60 mo,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RMST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Exploratory (EPV &lt; 10)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Note</w:t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HIST1H2AC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(57.2–NR)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51.4 (41.3–NR)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2.73 (1.17–6.40)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2.62 (0.75–9.15)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2.00 (0.57–7.08)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-9.23 (-16.12, -2.34)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(57.2–NR)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0.74 (0.34–1.64)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 (0.14–1.49)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0.47 (0.14–1.54)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2.85 (-4.17, 9.87)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57.2 (41.3–NR)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0.38 (0.16–0.87)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0.42 (0.13–1.31)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0.56 (0.18–1.74)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7.82 (0.89, 14.75)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51.4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2.58 (1.10–6.03)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2.26 (0.72–7.11)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1.89 (0.59–6.09)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2.49 (0.62–10.01)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1.85 (0.25–13.95)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-8.42 (-14.94, -1.89)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51.4 (47.0–NR)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0.64 (0.29–1.43)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0.67 (0.22–2.05)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0.97 (0.29–3.27)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1.03 (0.27–3.93)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0.22 (0.02–2.27)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4.82 (-1.86, 11.50)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FBXW7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51.9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0.73 (0.32–1.65)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0.31 (0.09–1.09)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0.43 (0.13–1.51)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3.98 (-3.70, 11.66)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0.55 (0.25–1.23)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0.19 (0.05–0.72)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0.20 (0.04–1.07)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5.32 (-1.61, 12.26)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 (0.24–1.23)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0.35 (0.11–1.15)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0.49 (0.13–1.77)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5.67 (-1.11, 12.45)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(47.0–NR)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0.87 (0.39–1.94)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0.83 (0.26–2.62)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0.90 (0.27–3.00)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 (-6.84, 6.99)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51.4 (41.3–NR)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0.44 (0.19–1.00)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0.29 (0.08–1.02)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0.42 (0.11–1.53)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7.75 (0.66, 14.84)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50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MS4A1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51.4 (43.2–NR)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(51.9–NR)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 (0.13–0.77)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0.13 (0.03–0.51)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0.10 (0.02–0.48)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0.189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9.16 (2.22, 16.09)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2026-10-04T00:01:42Z</dcterms:modified>
  <cp:category/>
</cp:coreProperties>
</file>