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FBXW7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[58.0,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(87.8%)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2026-10-03T23:50:09Z</dcterms:modified>
  <cp:category/>
</cp:coreProperties>
</file>