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170)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(50.9%)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(90.7%)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(67.1%)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(59.6%)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2026-10-03T23:49:35Z</dcterms:modified>
  <cp:category/>
</cp:coreProperties>
</file>